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80" w:after="80" w:line="360" w:lineRule="auto"/>
        <w:ind w:firstLine="643" w:firstLineChars="200"/>
        <w:rPr>
          <w:rFonts w:hint="eastAsia" w:ascii="宋体" w:hAnsi="宋体" w:eastAsia="宋体"/>
          <w:sz w:val="24"/>
          <w:szCs w:val="24"/>
        </w:rPr>
      </w:pPr>
      <w:r>
        <w:rPr>
          <w:rFonts w:hint="eastAsia"/>
          <w:lang w:eastAsia="zh-CN"/>
        </w:rPr>
        <w:t>项目要求：</w:t>
      </w:r>
      <w:r>
        <w:rPr>
          <w:rFonts w:hint="eastAsia" w:ascii="宋体" w:hAnsi="宋体" w:eastAsia="宋体"/>
          <w:sz w:val="24"/>
          <w:szCs w:val="24"/>
        </w:rPr>
        <w:t>项目背景</w:t>
      </w:r>
    </w:p>
    <w:p>
      <w:pPr>
        <w:spacing w:before="80" w:after="80"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天府亮晶晶通过加强宣传推广，</w:t>
      </w:r>
      <w:r>
        <w:rPr>
          <w:rFonts w:hint="eastAsia" w:ascii="宋体" w:hAnsi="宋体"/>
          <w:sz w:val="24"/>
          <w:szCs w:val="24"/>
          <w:lang w:val="en-US" w:eastAsia="zh-CN"/>
        </w:rPr>
        <w:t>宣传未成年人正确的就业观</w:t>
      </w:r>
      <w:r>
        <w:rPr>
          <w:rFonts w:hint="eastAsia" w:ascii="宋体" w:hAnsi="宋体" w:eastAsia="宋体"/>
          <w:sz w:val="24"/>
          <w:szCs w:val="24"/>
          <w:lang w:val="en-US" w:eastAsia="zh-CN"/>
        </w:rPr>
        <w:t>，拟</w:t>
      </w:r>
      <w:r>
        <w:rPr>
          <w:rFonts w:hint="eastAsia" w:ascii="宋体" w:hAnsi="宋体"/>
          <w:sz w:val="24"/>
          <w:szCs w:val="24"/>
          <w:lang w:val="en-US" w:eastAsia="zh-CN"/>
        </w:rPr>
        <w:t>制作涉未成年人沉浸式剧本杀剧本</w:t>
      </w:r>
      <w:r>
        <w:rPr>
          <w:rFonts w:hint="eastAsia" w:ascii="宋体" w:hAnsi="宋体" w:eastAsia="宋体"/>
          <w:sz w:val="24"/>
          <w:szCs w:val="24"/>
          <w:lang w:val="en-US" w:eastAsia="zh-CN"/>
        </w:rPr>
        <w:t>。</w:t>
      </w:r>
    </w:p>
    <w:p>
      <w:pPr>
        <w:pStyle w:val="4"/>
        <w:spacing w:before="80" w:after="80" w:line="360" w:lineRule="auto"/>
        <w:ind w:firstLine="482" w:firstLineChars="200"/>
        <w:rPr>
          <w:rFonts w:ascii="宋体" w:hAnsi="宋体" w:eastAsia="宋体"/>
          <w:sz w:val="24"/>
          <w:szCs w:val="24"/>
        </w:rPr>
      </w:pPr>
      <w:r>
        <w:rPr>
          <w:rFonts w:hint="eastAsia" w:ascii="宋体" w:hAnsi="宋体" w:eastAsia="宋体"/>
          <w:sz w:val="24"/>
          <w:szCs w:val="24"/>
        </w:rPr>
        <w:t>服务时间要求</w:t>
      </w:r>
    </w:p>
    <w:p>
      <w:pPr>
        <w:spacing w:before="80" w:after="80" w:line="360" w:lineRule="auto"/>
        <w:ind w:firstLine="480" w:firstLineChars="200"/>
        <w:rPr>
          <w:rFonts w:ascii="宋体" w:hAnsi="宋体" w:eastAsia="宋体"/>
          <w:sz w:val="24"/>
          <w:szCs w:val="24"/>
        </w:rPr>
      </w:pPr>
      <w:r>
        <w:rPr>
          <w:rFonts w:hint="eastAsia" w:ascii="宋体" w:hAnsi="宋体" w:eastAsia="宋体"/>
          <w:sz w:val="24"/>
          <w:szCs w:val="24"/>
        </w:rPr>
        <w:t>1、合同签订后</w:t>
      </w:r>
      <w:r>
        <w:rPr>
          <w:rFonts w:hint="eastAsia" w:ascii="宋体" w:hAnsi="宋体"/>
          <w:sz w:val="24"/>
          <w:szCs w:val="24"/>
          <w:lang w:val="en-US" w:eastAsia="zh-CN"/>
        </w:rPr>
        <w:t>60</w:t>
      </w:r>
      <w:r>
        <w:rPr>
          <w:rFonts w:hint="eastAsia" w:ascii="宋体" w:hAnsi="宋体" w:eastAsia="宋体"/>
          <w:sz w:val="24"/>
          <w:szCs w:val="24"/>
        </w:rPr>
        <w:t>个日历日内完成。</w:t>
      </w:r>
    </w:p>
    <w:p>
      <w:pPr>
        <w:pStyle w:val="4"/>
        <w:spacing w:before="80" w:after="80" w:line="360" w:lineRule="auto"/>
        <w:ind w:firstLine="482" w:firstLineChars="200"/>
        <w:rPr>
          <w:rFonts w:ascii="宋体" w:hAnsi="宋体" w:eastAsia="宋体"/>
          <w:sz w:val="24"/>
          <w:szCs w:val="24"/>
        </w:rPr>
      </w:pPr>
      <w:r>
        <w:rPr>
          <w:rFonts w:hint="eastAsia" w:ascii="宋体" w:hAnsi="宋体" w:eastAsia="宋体"/>
          <w:sz w:val="24"/>
          <w:szCs w:val="24"/>
        </w:rPr>
        <w:t>服务</w:t>
      </w:r>
      <w:r>
        <w:rPr>
          <w:rFonts w:ascii="宋体" w:hAnsi="宋体" w:eastAsia="宋体"/>
          <w:sz w:val="24"/>
          <w:szCs w:val="24"/>
        </w:rPr>
        <w:t>地点</w:t>
      </w:r>
    </w:p>
    <w:p>
      <w:pPr>
        <w:spacing w:before="80" w:after="80" w:line="360" w:lineRule="auto"/>
        <w:ind w:firstLine="480" w:firstLineChars="200"/>
        <w:rPr>
          <w:rFonts w:ascii="宋体" w:hAnsi="宋体" w:eastAsia="宋体"/>
          <w:sz w:val="24"/>
          <w:szCs w:val="24"/>
        </w:rPr>
      </w:pPr>
      <w:r>
        <w:rPr>
          <w:rFonts w:hint="eastAsia" w:ascii="宋体" w:hAnsi="宋体" w:eastAsia="宋体"/>
          <w:sz w:val="24"/>
          <w:szCs w:val="24"/>
        </w:rPr>
        <w:t>四川天府新区人民检察院。</w:t>
      </w:r>
    </w:p>
    <w:p>
      <w:pPr>
        <w:pStyle w:val="4"/>
        <w:spacing w:before="80" w:after="80" w:line="360" w:lineRule="auto"/>
        <w:ind w:firstLine="482" w:firstLineChars="200"/>
        <w:rPr>
          <w:rFonts w:ascii="宋体" w:hAnsi="宋体" w:eastAsia="宋体"/>
          <w:sz w:val="24"/>
          <w:szCs w:val="24"/>
        </w:rPr>
      </w:pPr>
      <w:bookmarkStart w:id="0" w:name="_Hlk63612946"/>
      <w:r>
        <w:rPr>
          <w:rFonts w:ascii="宋体" w:hAnsi="宋体" w:eastAsia="宋体"/>
          <w:sz w:val="24"/>
          <w:szCs w:val="24"/>
        </w:rPr>
        <w:t>付款方式</w:t>
      </w:r>
      <w:bookmarkEnd w:id="0"/>
    </w:p>
    <w:p>
      <w:pPr>
        <w:spacing w:before="80" w:after="80" w:line="360" w:lineRule="auto"/>
        <w:ind w:firstLine="480" w:firstLineChars="200"/>
        <w:rPr>
          <w:rFonts w:ascii="宋体" w:hAnsi="宋体" w:eastAsia="宋体"/>
          <w:sz w:val="24"/>
          <w:szCs w:val="24"/>
        </w:rPr>
      </w:pPr>
      <w:r>
        <w:rPr>
          <w:rFonts w:hint="eastAsia" w:ascii="宋体" w:hAnsi="宋体" w:eastAsia="宋体"/>
          <w:sz w:val="24"/>
          <w:szCs w:val="24"/>
        </w:rPr>
        <w:t>1、中选人完成全部服务工作，经采购人验收后，比选人支付合同金额的1</w:t>
      </w:r>
      <w:r>
        <w:rPr>
          <w:rFonts w:ascii="宋体" w:hAnsi="宋体" w:eastAsia="宋体"/>
          <w:sz w:val="24"/>
          <w:szCs w:val="24"/>
        </w:rPr>
        <w:t>00</w:t>
      </w:r>
      <w:r>
        <w:rPr>
          <w:rFonts w:hint="eastAsia" w:ascii="宋体" w:hAnsi="宋体" w:eastAsia="宋体"/>
          <w:sz w:val="24"/>
          <w:szCs w:val="24"/>
        </w:rPr>
        <w:t>%。</w:t>
      </w:r>
    </w:p>
    <w:p>
      <w:pPr>
        <w:spacing w:before="80" w:after="80"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、付款前由中选人向比选人提出申请并提供有效等额发票。</w:t>
      </w:r>
    </w:p>
    <w:p>
      <w:pPr>
        <w:pStyle w:val="4"/>
        <w:spacing w:before="80" w:after="80" w:line="360" w:lineRule="auto"/>
        <w:ind w:firstLine="482" w:firstLineChars="200"/>
        <w:rPr>
          <w:rFonts w:ascii="宋体" w:hAnsi="宋体" w:eastAsia="宋体"/>
          <w:sz w:val="24"/>
          <w:szCs w:val="24"/>
        </w:rPr>
      </w:pPr>
      <w:r>
        <w:rPr>
          <w:rFonts w:hint="eastAsia" w:ascii="宋体" w:hAnsi="宋体" w:eastAsia="宋体"/>
          <w:sz w:val="24"/>
          <w:szCs w:val="24"/>
        </w:rPr>
        <w:t>验收要求</w:t>
      </w:r>
    </w:p>
    <w:p>
      <w:pPr>
        <w:spacing w:before="80" w:after="80" w:line="360" w:lineRule="auto"/>
        <w:ind w:firstLine="480" w:firstLineChars="200"/>
        <w:rPr>
          <w:rFonts w:ascii="宋体" w:hAnsi="宋体" w:eastAsia="宋体"/>
          <w:sz w:val="24"/>
          <w:szCs w:val="24"/>
        </w:rPr>
      </w:pPr>
      <w:r>
        <w:rPr>
          <w:rFonts w:hint="eastAsia" w:ascii="宋体" w:hAnsi="宋体" w:eastAsia="宋体"/>
          <w:sz w:val="24"/>
          <w:szCs w:val="24"/>
        </w:rPr>
        <w:t>中选人与比选人严格按照比选文件及中选人的比选申请文件相关要求进行验收。</w:t>
      </w:r>
    </w:p>
    <w:p>
      <w:pPr>
        <w:pStyle w:val="4"/>
        <w:spacing w:before="80" w:after="80" w:line="360" w:lineRule="auto"/>
        <w:ind w:firstLine="482" w:firstLineChars="200"/>
        <w:rPr>
          <w:rFonts w:ascii="宋体" w:hAnsi="宋体" w:eastAsia="宋体"/>
          <w:sz w:val="24"/>
          <w:szCs w:val="24"/>
        </w:rPr>
      </w:pPr>
      <w:r>
        <w:rPr>
          <w:rFonts w:hint="eastAsia" w:ascii="宋体" w:hAnsi="宋体" w:eastAsia="宋体"/>
          <w:sz w:val="24"/>
          <w:szCs w:val="24"/>
        </w:rPr>
        <w:t>其他要求</w:t>
      </w:r>
    </w:p>
    <w:p>
      <w:pPr>
        <w:spacing w:before="80" w:after="80" w:line="360" w:lineRule="auto"/>
        <w:ind w:firstLine="480" w:firstLineChars="200"/>
        <w:rPr>
          <w:rFonts w:ascii="宋体" w:hAnsi="宋体" w:eastAsia="宋体"/>
          <w:sz w:val="24"/>
          <w:szCs w:val="24"/>
        </w:rPr>
      </w:pPr>
      <w:r>
        <w:rPr>
          <w:rFonts w:hint="eastAsia" w:ascii="宋体" w:hAnsi="宋体" w:eastAsia="宋体"/>
          <w:sz w:val="24"/>
          <w:szCs w:val="24"/>
        </w:rPr>
        <w:t xml:space="preserve">保密要求 </w:t>
      </w:r>
    </w:p>
    <w:p>
      <w:pPr>
        <w:spacing w:before="80" w:after="80" w:line="360" w:lineRule="auto"/>
        <w:ind w:firstLine="480" w:firstLineChars="200"/>
        <w:rPr>
          <w:rFonts w:ascii="宋体" w:hAnsi="宋体" w:eastAsia="宋体"/>
          <w:sz w:val="24"/>
          <w:szCs w:val="24"/>
        </w:rPr>
      </w:pPr>
      <w:r>
        <w:rPr>
          <w:rFonts w:hint="eastAsia" w:ascii="宋体" w:hAnsi="宋体" w:eastAsia="宋体"/>
          <w:sz w:val="24"/>
          <w:szCs w:val="24"/>
        </w:rPr>
        <w:t>比选申请人必须对比选人提供的所有内部资料和信息予以保密。未经比选人书面许可，比选申请人不得以任何形式向第三方透露本期项目的任何内容。</w:t>
      </w:r>
    </w:p>
    <w:p>
      <w:pPr>
        <w:pStyle w:val="3"/>
        <w:pageBreakBefore w:val="0"/>
        <w:kinsoku/>
        <w:wordWrap/>
        <w:overflowPunct/>
        <w:topLinePunct w:val="0"/>
        <w:autoSpaceDE/>
        <w:autoSpaceDN/>
        <w:bidi w:val="0"/>
        <w:spacing w:before="0" w:after="0" w:line="580" w:lineRule="exact"/>
        <w:ind w:firstLine="480" w:firstLineChars="200"/>
        <w:jc w:val="both"/>
        <w:textAlignment w:val="auto"/>
        <w:rPr>
          <w:rFonts w:ascii="华文中宋" w:hAnsi="华文中宋" w:eastAsia="华文中宋" w:cs="宋体"/>
          <w:bCs w:val="0"/>
          <w:sz w:val="24"/>
          <w:szCs w:val="24"/>
        </w:rPr>
      </w:pPr>
      <w:r>
        <w:rPr>
          <w:rFonts w:ascii="华文中宋" w:hAnsi="华文中宋" w:eastAsia="华文中宋" w:cs="宋体"/>
          <w:bCs w:val="0"/>
          <w:sz w:val="24"/>
          <w:szCs w:val="24"/>
        </w:rPr>
        <w:t>技术</w:t>
      </w:r>
      <w:r>
        <w:rPr>
          <w:rFonts w:hint="eastAsia" w:ascii="华文中宋" w:hAnsi="华文中宋" w:eastAsia="华文中宋" w:cs="宋体"/>
          <w:bCs w:val="0"/>
          <w:sz w:val="24"/>
          <w:szCs w:val="24"/>
        </w:rPr>
        <w:t>服务</w:t>
      </w:r>
      <w:r>
        <w:rPr>
          <w:rFonts w:ascii="华文中宋" w:hAnsi="华文中宋" w:eastAsia="华文中宋" w:cs="宋体"/>
          <w:bCs w:val="0"/>
          <w:sz w:val="24"/>
          <w:szCs w:val="24"/>
        </w:rPr>
        <w:t>要求</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spacing w:beforeAutospacing="0" w:afterAutospacing="0" w:line="580" w:lineRule="exact"/>
        <w:ind w:right="0" w:rightChars="0" w:firstLine="480" w:firstLineChars="200"/>
        <w:jc w:val="both"/>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剧情要求：符合主题、剧情紧凑、参与感强，符合年轻消费</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spacing w:beforeAutospacing="0" w:afterAutospacing="0" w:line="580" w:lineRule="exact"/>
        <w:ind w:right="0" w:rightChars="0" w:firstLine="480" w:firstLineChars="200"/>
        <w:jc w:val="both"/>
        <w:textAlignment w:val="auto"/>
        <w:rPr>
          <w:rFonts w:hint="eastAsia" w:ascii="仿宋" w:hAnsi="仿宋" w:eastAsia="仿宋" w:cs="仿宋"/>
          <w:i w:val="0"/>
          <w:iCs w:val="0"/>
          <w:caps w:val="0"/>
          <w:color w:val="212529"/>
          <w:spacing w:val="0"/>
          <w:sz w:val="21"/>
          <w:szCs w:val="21"/>
        </w:rPr>
      </w:pPr>
      <w:r>
        <w:rPr>
          <w:rFonts w:hint="eastAsia" w:ascii="宋体" w:hAnsi="宋体" w:eastAsia="宋体"/>
          <w:sz w:val="24"/>
          <w:szCs w:val="24"/>
          <w:lang w:val="en-US" w:eastAsia="zh-CN"/>
        </w:rPr>
        <w:t>群体需求：能够融入未成年人保护相关法律常识，未成年人就业相关法律知识普及，适合未成年人阅读、演绎。内容积极向上、弘扬</w:t>
      </w:r>
      <w:r>
        <w:rPr>
          <w:rFonts w:hint="eastAsia" w:ascii="仿宋" w:hAnsi="仿宋" w:eastAsia="仿宋" w:cs="仿宋"/>
          <w:i w:val="0"/>
          <w:iCs w:val="0"/>
          <w:caps w:val="0"/>
          <w:color w:val="212529"/>
          <w:spacing w:val="0"/>
          <w:kern w:val="0"/>
          <w:sz w:val="32"/>
          <w:szCs w:val="32"/>
          <w:shd w:val="clear" w:color="auto" w:fill="FFFFFF"/>
          <w:lang w:val="en-US" w:eastAsia="zh-CN" w:bidi="ar"/>
        </w:rPr>
        <w:t>正能量。</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spacing w:beforeAutospacing="0" w:afterAutospacing="0" w:line="580" w:lineRule="exact"/>
        <w:ind w:right="0" w:rightChars="0" w:firstLine="480" w:firstLineChars="200"/>
        <w:jc w:val="both"/>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环节设置：可体验环节不低于3个，情景表演环节不低于3个，相应环节可分时段设置；</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spacing w:beforeAutospacing="0" w:afterAutospacing="0" w:line="580" w:lineRule="exact"/>
        <w:ind w:right="0" w:rightChars="0" w:firstLine="480" w:firstLineChars="200"/>
        <w:jc w:val="both"/>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开本培训：提供开本培训，确保甲方可顺利进行整场沉剧本杀的开本工作</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spacing w:beforeAutospacing="0" w:afterAutospacing="0" w:line="580" w:lineRule="exact"/>
        <w:ind w:right="0" w:rightChars="0" w:firstLine="480" w:firstLineChars="200"/>
        <w:jc w:val="both"/>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负责整个活动剧本故事背景撰写、所需物料、道具准备、场景布置。</w:t>
      </w:r>
    </w:p>
    <w:p>
      <w:pPr>
        <w:pageBreakBefore w:val="0"/>
        <w:kinsoku/>
        <w:wordWrap/>
        <w:overflowPunct/>
        <w:topLinePunct w:val="0"/>
        <w:autoSpaceDE/>
        <w:autoSpaceDN/>
        <w:bidi w:val="0"/>
        <w:spacing w:line="580" w:lineRule="exact"/>
        <w:ind w:firstLine="480" w:firstLineChars="200"/>
        <w:textAlignment w:val="auto"/>
        <w:rPr>
          <w:rFonts w:ascii="宋体" w:hAnsi="宋体" w:eastAsia="宋体"/>
          <w:sz w:val="24"/>
          <w:szCs w:val="24"/>
        </w:rPr>
      </w:pPr>
    </w:p>
    <w:p>
      <w:pPr>
        <w:pStyle w:val="3"/>
        <w:pageBreakBefore w:val="0"/>
        <w:kinsoku/>
        <w:wordWrap/>
        <w:overflowPunct/>
        <w:topLinePunct w:val="0"/>
        <w:autoSpaceDE/>
        <w:autoSpaceDN/>
        <w:bidi w:val="0"/>
        <w:spacing w:before="0" w:after="0" w:line="580" w:lineRule="exact"/>
        <w:ind w:firstLine="480" w:firstLineChars="200"/>
        <w:jc w:val="both"/>
        <w:textAlignment w:val="auto"/>
        <w:rPr>
          <w:rFonts w:ascii="华文中宋" w:hAnsi="华文中宋" w:eastAsia="华文中宋" w:cs="宋体"/>
          <w:bCs w:val="0"/>
          <w:sz w:val="24"/>
          <w:szCs w:val="24"/>
        </w:rPr>
      </w:pPr>
      <w:r>
        <w:rPr>
          <w:rFonts w:ascii="华文中宋" w:hAnsi="华文中宋" w:eastAsia="华文中宋" w:cs="宋体"/>
          <w:bCs w:val="0"/>
          <w:sz w:val="24"/>
          <w:szCs w:val="24"/>
        </w:rPr>
        <w:t>4</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评审细则及标准（</w:t>
      </w:r>
      <w:r>
        <w:rPr>
          <w:rFonts w:hint="eastAsia" w:ascii="华文中宋" w:hAnsi="华文中宋" w:eastAsia="华文中宋" w:cs="宋体"/>
          <w:bCs w:val="0"/>
          <w:sz w:val="24"/>
          <w:szCs w:val="24"/>
        </w:rPr>
        <w:t>综合评分法</w:t>
      </w:r>
      <w:r>
        <w:rPr>
          <w:rFonts w:ascii="华文中宋" w:hAnsi="华文中宋" w:eastAsia="华文中宋" w:cs="宋体"/>
          <w:bCs w:val="0"/>
          <w:sz w:val="24"/>
          <w:szCs w:val="24"/>
        </w:rPr>
        <w:t>）</w:t>
      </w:r>
    </w:p>
    <w:tbl>
      <w:tblPr>
        <w:tblStyle w:val="5"/>
        <w:tblpPr w:leftFromText="180" w:rightFromText="180" w:vertAnchor="text" w:horzAnchor="page" w:tblpXSpec="center" w:tblpY="891"/>
        <w:tblOverlap w:val="never"/>
        <w:tblW w:w="9736" w:type="dxa"/>
        <w:jc w:val="center"/>
        <w:tblLayout w:type="fixed"/>
        <w:tblCellMar>
          <w:top w:w="15" w:type="dxa"/>
          <w:left w:w="15" w:type="dxa"/>
          <w:bottom w:w="15" w:type="dxa"/>
          <w:right w:w="15" w:type="dxa"/>
        </w:tblCellMar>
      </w:tblPr>
      <w:tblGrid>
        <w:gridCol w:w="846"/>
        <w:gridCol w:w="1417"/>
        <w:gridCol w:w="851"/>
        <w:gridCol w:w="6622"/>
      </w:tblGrid>
      <w:tr>
        <w:tblPrEx>
          <w:tblCellMar>
            <w:top w:w="15" w:type="dxa"/>
            <w:left w:w="15" w:type="dxa"/>
            <w:bottom w:w="15" w:type="dxa"/>
            <w:right w:w="15" w:type="dxa"/>
          </w:tblCellMar>
        </w:tblPrEx>
        <w:trPr>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both"/>
              <w:textAlignment w:val="auto"/>
              <w:rPr>
                <w:rFonts w:ascii="宋体" w:hAnsi="宋体" w:eastAsia="宋体" w:cs="宋体"/>
                <w:b/>
                <w:bCs/>
                <w:sz w:val="22"/>
              </w:rPr>
            </w:pPr>
            <w:r>
              <w:rPr>
                <w:rFonts w:hint="eastAsia" w:ascii="宋体" w:hAnsi="宋体" w:eastAsia="宋体" w:cs="宋体"/>
                <w:b/>
                <w:bCs/>
                <w:sz w:val="22"/>
              </w:rPr>
              <w:t>序号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cs="宋体"/>
                <w:b/>
                <w:bCs/>
                <w:sz w:val="22"/>
              </w:rPr>
            </w:pPr>
            <w:r>
              <w:rPr>
                <w:rFonts w:hint="eastAsia" w:ascii="宋体" w:hAnsi="宋体" w:eastAsia="宋体" w:cs="宋体"/>
                <w:b/>
                <w:bCs/>
                <w:sz w:val="22"/>
              </w:rPr>
              <w:t>评分因素</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cs="宋体"/>
                <w:b/>
                <w:bCs/>
                <w:sz w:val="22"/>
              </w:rPr>
            </w:pPr>
            <w:r>
              <w:rPr>
                <w:rFonts w:hint="eastAsia" w:ascii="宋体" w:hAnsi="宋体" w:eastAsia="宋体" w:cs="宋体"/>
                <w:b/>
                <w:bCs/>
                <w:sz w:val="22"/>
              </w:rPr>
              <w:t>分值</w:t>
            </w:r>
          </w:p>
        </w:tc>
        <w:tc>
          <w:tcPr>
            <w:tcW w:w="6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cs="宋体"/>
                <w:b/>
                <w:bCs/>
                <w:sz w:val="22"/>
              </w:rPr>
            </w:pPr>
            <w:r>
              <w:rPr>
                <w:rFonts w:hint="eastAsia" w:ascii="宋体" w:hAnsi="宋体" w:eastAsia="宋体" w:cs="宋体"/>
                <w:b/>
                <w:bCs/>
                <w:sz w:val="22"/>
              </w:rPr>
              <w:t>评分标准</w:t>
            </w:r>
          </w:p>
        </w:tc>
      </w:tr>
      <w:tr>
        <w:tblPrEx>
          <w:tblCellMar>
            <w:top w:w="15" w:type="dxa"/>
            <w:left w:w="15" w:type="dxa"/>
            <w:bottom w:w="15" w:type="dxa"/>
            <w:right w:w="15" w:type="dxa"/>
          </w:tblCellMar>
        </w:tblPrEx>
        <w:trPr>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firstLine="0" w:firstLineChars="0"/>
              <w:jc w:val="center"/>
              <w:textAlignment w:val="auto"/>
              <w:rPr>
                <w:rFonts w:ascii="宋体" w:hAnsi="宋体" w:eastAsia="宋体" w:cs="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cs="宋体"/>
                <w:sz w:val="22"/>
              </w:rPr>
            </w:pPr>
            <w:r>
              <w:rPr>
                <w:rFonts w:hint="eastAsia" w:ascii="宋体" w:hAnsi="宋体" w:eastAsia="宋体"/>
                <w:sz w:val="22"/>
              </w:rPr>
              <w:t>报价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cs="宋体"/>
                <w:sz w:val="22"/>
              </w:rPr>
            </w:pPr>
            <w:r>
              <w:rPr>
                <w:rFonts w:hint="eastAsia" w:ascii="宋体" w:hAnsi="宋体"/>
                <w:sz w:val="22"/>
                <w:lang w:val="en-US" w:eastAsia="zh-CN"/>
              </w:rPr>
              <w:t>15</w:t>
            </w:r>
            <w:r>
              <w:rPr>
                <w:rFonts w:hint="eastAsia" w:ascii="宋体" w:hAnsi="宋体" w:eastAsia="宋体"/>
                <w:sz w:val="22"/>
              </w:rPr>
              <w:t>分</w:t>
            </w:r>
          </w:p>
        </w:tc>
        <w:tc>
          <w:tcPr>
            <w:tcW w:w="6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ascii="宋体" w:hAnsi="宋体" w:eastAsia="宋体"/>
                <w:sz w:val="22"/>
              </w:rPr>
            </w:pPr>
            <w:r>
              <w:rPr>
                <w:rFonts w:hint="eastAsia" w:ascii="宋体" w:hAnsi="宋体" w:eastAsia="宋体"/>
                <w:sz w:val="22"/>
              </w:rPr>
              <w:t>以本次最低有效比</w:t>
            </w:r>
            <w:r>
              <w:rPr>
                <w:rFonts w:ascii="宋体" w:hAnsi="宋体" w:eastAsia="宋体"/>
                <w:sz w:val="22"/>
              </w:rPr>
              <w:t>选</w:t>
            </w:r>
            <w:r>
              <w:rPr>
                <w:rFonts w:hint="eastAsia" w:ascii="宋体" w:hAnsi="宋体" w:eastAsia="宋体"/>
                <w:sz w:val="22"/>
              </w:rPr>
              <w:t>报价为基准价，比选报价得分=(基准价／比</w:t>
            </w:r>
            <w:r>
              <w:rPr>
                <w:rFonts w:ascii="宋体" w:hAnsi="宋体" w:eastAsia="宋体"/>
                <w:sz w:val="22"/>
              </w:rPr>
              <w:t>选</w:t>
            </w:r>
            <w:r>
              <w:rPr>
                <w:rFonts w:hint="eastAsia" w:ascii="宋体" w:hAnsi="宋体" w:eastAsia="宋体"/>
                <w:sz w:val="22"/>
              </w:rPr>
              <w:t>报价) *</w:t>
            </w:r>
            <w:r>
              <w:rPr>
                <w:rFonts w:hint="eastAsia" w:ascii="宋体" w:hAnsi="宋体"/>
                <w:sz w:val="22"/>
                <w:lang w:val="en-US" w:eastAsia="zh-CN"/>
              </w:rPr>
              <w:t>20</w:t>
            </w:r>
            <w:r>
              <w:rPr>
                <w:rFonts w:hint="eastAsia" w:ascii="宋体" w:hAnsi="宋体" w:eastAsia="宋体"/>
                <w:sz w:val="22"/>
              </w:rPr>
              <w:t>分。</w:t>
            </w:r>
          </w:p>
        </w:tc>
      </w:tr>
      <w:tr>
        <w:tblPrEx>
          <w:tblCellMar>
            <w:top w:w="15" w:type="dxa"/>
            <w:left w:w="15" w:type="dxa"/>
            <w:bottom w:w="15" w:type="dxa"/>
            <w:right w:w="15" w:type="dxa"/>
          </w:tblCellMar>
        </w:tblPrEx>
        <w:trPr>
          <w:jc w:val="center"/>
        </w:trPr>
        <w:tc>
          <w:tcPr>
            <w:tcW w:w="846" w:type="dxa"/>
            <w:tcBorders>
              <w:top w:val="single" w:color="auto" w:sz="4" w:space="0"/>
              <w:left w:val="single" w:color="auto" w:sz="4" w:space="0"/>
              <w:right w:val="single" w:color="auto" w:sz="4" w:space="0"/>
            </w:tcBorders>
            <w:noWrap w:val="0"/>
            <w:vAlign w:val="center"/>
          </w:tcPr>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firstLine="0" w:firstLineChars="0"/>
              <w:jc w:val="center"/>
              <w:textAlignment w:val="auto"/>
              <w:rPr>
                <w:rFonts w:ascii="宋体" w:hAnsi="宋体" w:eastAsia="宋体" w:cs="宋体"/>
                <w:sz w:val="22"/>
              </w:rPr>
            </w:pPr>
          </w:p>
        </w:tc>
        <w:tc>
          <w:tcPr>
            <w:tcW w:w="14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sz w:val="22"/>
              </w:rPr>
            </w:pPr>
            <w:r>
              <w:rPr>
                <w:rFonts w:hint="eastAsia" w:ascii="宋体" w:hAnsi="宋体" w:eastAsia="宋体"/>
                <w:sz w:val="22"/>
              </w:rPr>
              <w:t>项目实施方案</w:t>
            </w:r>
          </w:p>
        </w:tc>
        <w:tc>
          <w:tcPr>
            <w:tcW w:w="85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sz w:val="22"/>
              </w:rPr>
            </w:pPr>
            <w:r>
              <w:rPr>
                <w:rFonts w:hint="eastAsia" w:ascii="宋体" w:hAnsi="宋体"/>
                <w:sz w:val="22"/>
                <w:lang w:val="en-US" w:eastAsia="zh-CN"/>
              </w:rPr>
              <w:t>40</w:t>
            </w:r>
            <w:r>
              <w:rPr>
                <w:rFonts w:hint="eastAsia" w:ascii="宋体" w:hAnsi="宋体" w:eastAsia="宋体"/>
                <w:sz w:val="22"/>
              </w:rPr>
              <w:t>分</w:t>
            </w:r>
          </w:p>
        </w:tc>
        <w:tc>
          <w:tcPr>
            <w:tcW w:w="6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eastAsia" w:ascii="宋体" w:hAnsi="宋体" w:eastAsia="宋体"/>
                <w:sz w:val="22"/>
              </w:rPr>
            </w:pPr>
            <w:r>
              <w:rPr>
                <w:rFonts w:hint="eastAsia" w:ascii="宋体" w:hAnsi="宋体" w:eastAsia="宋体"/>
                <w:sz w:val="22"/>
                <w:lang w:val="en-US" w:eastAsia="zh-CN"/>
              </w:rPr>
              <w:t>根据比选申请人提供的项目实施方案进行评审，包括但不仅限于①全案故事背景、②创作创意阐述、③项目需求分析、④人员配备及职能分工、⑤印刷制作方案（含道具）、⑥定本试本技术支持、⑦开本培训方案等,以上每项内容提供了详细方案、内容完整、切合项目实际情况、有针对性进行阐述的得 35分，每有一项内容缺失或者漏项扣5分，每有一项内容不完整或有缺陷或与项目实际需求不符合扣2.5分;扣完为止，未提供不得分。</w:t>
            </w:r>
          </w:p>
        </w:tc>
      </w:tr>
      <w:tr>
        <w:tblPrEx>
          <w:tblCellMar>
            <w:top w:w="15" w:type="dxa"/>
            <w:left w:w="15" w:type="dxa"/>
            <w:bottom w:w="15" w:type="dxa"/>
            <w:right w:w="15" w:type="dxa"/>
          </w:tblCellMar>
        </w:tblPrEx>
        <w:trPr>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firstLine="0" w:firstLineChars="0"/>
              <w:jc w:val="center"/>
              <w:textAlignment w:val="auto"/>
              <w:rPr>
                <w:rFonts w:ascii="宋体" w:hAnsi="宋体" w:eastAsia="宋体" w:cs="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sz w:val="22"/>
              </w:rPr>
            </w:pPr>
            <w:r>
              <w:rPr>
                <w:rFonts w:hint="eastAsia" w:ascii="宋体" w:hAnsi="宋体" w:eastAsia="宋体"/>
                <w:sz w:val="22"/>
              </w:rPr>
              <w:t>项目进度计划</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sz w:val="22"/>
              </w:rPr>
            </w:pPr>
            <w:r>
              <w:rPr>
                <w:rFonts w:hint="eastAsia" w:ascii="宋体" w:hAnsi="宋体"/>
                <w:sz w:val="22"/>
                <w:lang w:val="en-US" w:eastAsia="zh-CN"/>
              </w:rPr>
              <w:t>15</w:t>
            </w:r>
            <w:r>
              <w:rPr>
                <w:rFonts w:hint="eastAsia" w:ascii="宋体" w:hAnsi="宋体" w:eastAsia="宋体"/>
                <w:sz w:val="22"/>
              </w:rPr>
              <w:t>分</w:t>
            </w:r>
          </w:p>
        </w:tc>
        <w:tc>
          <w:tcPr>
            <w:tcW w:w="66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eastAsia" w:ascii="宋体" w:hAnsi="宋体" w:eastAsia="宋体"/>
                <w:sz w:val="22"/>
              </w:rPr>
            </w:pPr>
            <w:r>
              <w:rPr>
                <w:rFonts w:hint="eastAsia" w:ascii="宋体" w:hAnsi="宋体" w:eastAsia="宋体"/>
                <w:sz w:val="22"/>
              </w:rPr>
              <w:t>对比选申请人提交的实施进度方案进行评审，包括但不限于：①各环节时间节点计划；②项目进度安排；③项目进度实施进度保障措施；</w:t>
            </w:r>
            <w:r>
              <w:rPr>
                <w:rFonts w:hint="eastAsia" w:ascii="宋体" w:hAnsi="宋体" w:eastAsia="宋体"/>
                <w:sz w:val="22"/>
                <w:lang w:val="en-US" w:eastAsia="zh-CN"/>
              </w:rPr>
              <w:t>对比选申请人提交的实施进度方案进行评审，包括但不限于:①各环节时间节点计划:②项目进度安排:③项目进度实施进度保障措施:以上内容完整、切合项目实际情况、有针对性进行阐述的得15分,每有一项内容缺失或者漏项扣5分，每有一项内容不完整或有缺陷或与项目实际需求不符合扣2.5分;扣完为止，未提供不得分。</w:t>
            </w:r>
          </w:p>
        </w:tc>
      </w:tr>
      <w:tr>
        <w:tblPrEx>
          <w:tblCellMar>
            <w:top w:w="15" w:type="dxa"/>
            <w:left w:w="15" w:type="dxa"/>
            <w:bottom w:w="15" w:type="dxa"/>
            <w:right w:w="15" w:type="dxa"/>
          </w:tblCellMar>
        </w:tblPrEx>
        <w:trPr>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firstLine="0" w:firstLineChars="0"/>
              <w:jc w:val="center"/>
              <w:textAlignment w:val="auto"/>
              <w:rPr>
                <w:rFonts w:ascii="宋体" w:hAnsi="宋体" w:eastAsia="宋体" w:cs="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sz w:val="22"/>
              </w:rPr>
            </w:pPr>
            <w:r>
              <w:rPr>
                <w:rFonts w:hint="eastAsia" w:ascii="宋体" w:hAnsi="宋体" w:eastAsia="宋体"/>
                <w:sz w:val="22"/>
              </w:rPr>
              <w:t>项目人员配备</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sz w:val="22"/>
              </w:rPr>
            </w:pPr>
            <w:r>
              <w:rPr>
                <w:rFonts w:hint="eastAsia" w:ascii="宋体" w:hAnsi="宋体"/>
                <w:sz w:val="22"/>
                <w:lang w:val="en-US" w:eastAsia="zh-CN"/>
              </w:rPr>
              <w:t>15</w:t>
            </w:r>
            <w:r>
              <w:rPr>
                <w:rFonts w:ascii="宋体" w:hAnsi="宋体" w:eastAsia="宋体"/>
                <w:sz w:val="22"/>
              </w:rPr>
              <w:t>分</w:t>
            </w:r>
          </w:p>
        </w:tc>
        <w:tc>
          <w:tcPr>
            <w:tcW w:w="6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eastAsia" w:ascii="宋体" w:hAnsi="宋体" w:eastAsia="宋体"/>
                <w:sz w:val="22"/>
                <w:lang w:val="en-US" w:eastAsia="zh-CN"/>
              </w:rPr>
            </w:pPr>
            <w:r>
              <w:rPr>
                <w:rFonts w:hint="eastAsia" w:ascii="宋体" w:hAnsi="宋体" w:eastAsia="宋体"/>
                <w:sz w:val="22"/>
                <w:lang w:val="en-US" w:eastAsia="zh-CN"/>
              </w:rPr>
              <w:t>比选申请人为本项目拟派的团队具有:①编剧(含稿)、②主持人培训师、③道具、④电子资料制作（含音频文件）、⑤定本试本等相关技术人员，以上岗位均配置到位得10分，每缺少一项扣3分，扣完为止。(注:需提供详细的人员配置表)</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eastAsia" w:ascii="宋体" w:hAnsi="宋体" w:eastAsia="宋体"/>
                <w:sz w:val="22"/>
              </w:rPr>
            </w:pPr>
          </w:p>
        </w:tc>
      </w:tr>
      <w:tr>
        <w:tblPrEx>
          <w:tblCellMar>
            <w:top w:w="15" w:type="dxa"/>
            <w:left w:w="15" w:type="dxa"/>
            <w:bottom w:w="15" w:type="dxa"/>
            <w:right w:w="15" w:type="dxa"/>
          </w:tblCellMar>
        </w:tblPrEx>
        <w:trPr>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firstLine="0" w:firstLineChars="0"/>
              <w:jc w:val="center"/>
              <w:textAlignment w:val="auto"/>
              <w:rPr>
                <w:rFonts w:ascii="宋体" w:hAnsi="宋体" w:eastAsia="宋体" w:cs="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sz w:val="22"/>
              </w:rPr>
            </w:pPr>
            <w:r>
              <w:rPr>
                <w:rFonts w:hint="eastAsia" w:ascii="宋体" w:hAnsi="宋体" w:eastAsia="宋体"/>
                <w:sz w:val="22"/>
              </w:rPr>
              <w:t>履约经验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ascii="宋体" w:hAnsi="宋体" w:eastAsia="宋体"/>
                <w:sz w:val="22"/>
              </w:rPr>
            </w:pPr>
            <w:r>
              <w:rPr>
                <w:rFonts w:hint="eastAsia" w:ascii="宋体" w:hAnsi="宋体"/>
                <w:sz w:val="22"/>
                <w:lang w:val="en-US" w:eastAsia="zh-CN"/>
              </w:rPr>
              <w:t>15</w:t>
            </w:r>
            <w:r>
              <w:rPr>
                <w:rFonts w:hint="eastAsia" w:ascii="宋体" w:hAnsi="宋体" w:eastAsia="宋体"/>
                <w:sz w:val="22"/>
              </w:rPr>
              <w:t>分</w:t>
            </w:r>
          </w:p>
        </w:tc>
        <w:tc>
          <w:tcPr>
            <w:tcW w:w="6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eastAsia" w:ascii="宋体" w:hAnsi="宋体" w:eastAsia="宋体"/>
                <w:sz w:val="22"/>
              </w:rPr>
            </w:pPr>
            <w:r>
              <w:rPr>
                <w:rFonts w:hint="eastAsia" w:ascii="宋体" w:hAnsi="宋体" w:eastAsia="宋体"/>
                <w:sz w:val="22"/>
                <w:lang w:val="en-US" w:eastAsia="zh-CN"/>
              </w:rPr>
              <w:t>①比选申请人提供 2021年1月1日以来，具有类似案例的，每有1份案例得5分，最多得15分。(提供合同或中标通知书复印件加盖比选中请人鲜章)</w:t>
            </w:r>
          </w:p>
        </w:tc>
      </w:tr>
    </w:tbl>
    <w:p>
      <w:pPr>
        <w:rPr>
          <w:rFonts w:hint="eastAsia" w:eastAsia="宋体"/>
          <w:lang w:eastAsia="zh-CN"/>
        </w:rPr>
      </w:pPr>
    </w:p>
    <w:p>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A4CB8"/>
    <w:multiLevelType w:val="multilevel"/>
    <w:tmpl w:val="039A4C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NTMzYTliZWEwYzAyOTdmMGNlOTIzZjA5NDQyNGUifQ=="/>
  </w:docVars>
  <w:rsids>
    <w:rsidRoot w:val="61985ADE"/>
    <w:rsid w:val="57F25F9C"/>
    <w:rsid w:val="5D9B6BC0"/>
    <w:rsid w:val="61985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jc w:val="center"/>
      <w:outlineLvl w:val="0"/>
    </w:pPr>
    <w:rPr>
      <w:rFonts w:ascii="Calibri" w:hAnsi="Calibri" w:eastAsia="黑体" w:cs="Times New Roman"/>
      <w:b/>
      <w:kern w:val="44"/>
      <w:sz w:val="32"/>
    </w:rPr>
  </w:style>
  <w:style w:type="paragraph" w:styleId="3">
    <w:name w:val="heading 2"/>
    <w:basedOn w:val="1"/>
    <w:next w:val="1"/>
    <w:qFormat/>
    <w:uiPriority w:val="0"/>
    <w:pPr>
      <w:keepNext/>
      <w:keepLines/>
      <w:tabs>
        <w:tab w:val="left" w:pos="720"/>
      </w:tabs>
      <w:spacing w:before="260" w:after="260" w:line="360" w:lineRule="auto"/>
      <w:jc w:val="center"/>
      <w:outlineLvl w:val="1"/>
    </w:pPr>
    <w:rPr>
      <w:rFonts w:hAnsi="宋体" w:cs="Arial"/>
      <w:b/>
      <w:bCs/>
      <w:iCs/>
      <w:sz w:val="28"/>
      <w:szCs w:val="28"/>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7">
    <w:name w:val="列表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2024-03-12T07:06:00Z</dcterms:created>
  <dc:creator>大少爷</dc:creator>
  <cp:lastModifiedBy>大少爷</cp:lastModifiedBy>
  <dcterms:modified xsi:type="dcterms:W3CDTF">2024-03-12T07:06:24Z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D3B85E28EED94F78A085B9DF5ECFE3AA_11</vt:lpwstr>
  </property>
</Properties>
</file>