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华文中宋" w:hAnsi="华文中宋" w:eastAsia="华文中宋" w:cs="宋体"/>
          <w:bCs w:val="0"/>
          <w:sz w:val="36"/>
          <w:szCs w:val="36"/>
        </w:rPr>
      </w:pPr>
      <w:bookmarkStart w:id="0" w:name="_GoBack"/>
      <w:bookmarkEnd w:id="0"/>
      <w:r>
        <w:rPr>
          <w:rFonts w:ascii="华文中宋" w:hAnsi="华文中宋" w:eastAsia="华文中宋" w:cs="宋体"/>
          <w:bCs w:val="0"/>
          <w:sz w:val="36"/>
          <w:szCs w:val="36"/>
        </w:rPr>
        <w:t>评审细则及标准（</w:t>
      </w:r>
      <w:r>
        <w:rPr>
          <w:rFonts w:hint="eastAsia" w:ascii="华文中宋" w:hAnsi="华文中宋" w:eastAsia="华文中宋" w:cs="宋体"/>
          <w:bCs w:val="0"/>
          <w:sz w:val="36"/>
          <w:szCs w:val="36"/>
        </w:rPr>
        <w:t>综合评分法</w:t>
      </w:r>
      <w:r>
        <w:rPr>
          <w:rFonts w:ascii="华文中宋" w:hAnsi="华文中宋" w:eastAsia="华文中宋" w:cs="宋体"/>
          <w:bCs w:val="0"/>
          <w:sz w:val="36"/>
          <w:szCs w:val="36"/>
        </w:rPr>
        <w:t>）</w:t>
      </w:r>
    </w:p>
    <w:p/>
    <w:p>
      <w:pPr>
        <w:spacing w:before="80" w:after="80" w:line="360" w:lineRule="auto"/>
        <w:rPr>
          <w:rFonts w:hint="eastAsia"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4.1 综合评分明细表</w:t>
      </w:r>
    </w:p>
    <w:tbl>
      <w:tblPr>
        <w:tblStyle w:val="4"/>
        <w:tblpPr w:leftFromText="180" w:rightFromText="180" w:vertAnchor="text" w:horzAnchor="margin" w:tblpXSpec="center" w:tblpY="362"/>
        <w:tblOverlap w:val="never"/>
        <w:tblW w:w="97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6"/>
        <w:gridCol w:w="1417"/>
        <w:gridCol w:w="851"/>
        <w:gridCol w:w="66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0" w:after="80" w:line="360" w:lineRule="auto"/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0" w:after="80" w:line="360" w:lineRule="auto"/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评分因素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0" w:after="80" w:line="360" w:lineRule="auto"/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分值</w:t>
            </w:r>
          </w:p>
        </w:tc>
        <w:tc>
          <w:tcPr>
            <w:tcW w:w="6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0" w:after="80" w:line="360" w:lineRule="auto"/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评分标准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spacing w:before="80" w:after="80" w:line="360" w:lineRule="auto"/>
              <w:ind w:left="0"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0" w:after="80" w:line="360" w:lineRule="auto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报价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0" w:after="80" w:line="360" w:lineRule="auto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z w:val="22"/>
              </w:rPr>
              <w:t>分</w:t>
            </w:r>
          </w:p>
        </w:tc>
        <w:tc>
          <w:tcPr>
            <w:tcW w:w="6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0" w:after="80" w:line="360" w:lineRule="auto"/>
            </w:pPr>
            <w:r>
              <w:rPr>
                <w:rFonts w:hint="eastAsia" w:ascii="宋体" w:hAnsi="宋体" w:eastAsia="宋体"/>
                <w:sz w:val="22"/>
              </w:rPr>
              <w:t>以本次最低有效比</w:t>
            </w:r>
            <w:r>
              <w:rPr>
                <w:rFonts w:ascii="宋体" w:hAnsi="宋体" w:eastAsia="宋体"/>
                <w:sz w:val="22"/>
              </w:rPr>
              <w:t>选</w:t>
            </w:r>
            <w:r>
              <w:rPr>
                <w:rFonts w:hint="eastAsia" w:ascii="宋体" w:hAnsi="宋体" w:eastAsia="宋体"/>
                <w:sz w:val="22"/>
              </w:rPr>
              <w:t>报价为基准价，</w:t>
            </w:r>
            <w:r>
              <w:rPr>
                <w:rFonts w:hint="eastAsia"/>
              </w:rPr>
              <w:t>其价格分为满分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t>其他供应商的价格分统一按照下列公式计算：最后报价得分=(评审基准价/最后报价)</w:t>
            </w:r>
            <w:r>
              <w:rPr>
                <w:rFonts w:hint="eastAsia" w:ascii="宋体" w:hAnsi="宋体" w:eastAsia="宋体"/>
                <w:sz w:val="22"/>
              </w:rPr>
              <w:t>*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spacing w:before="80" w:after="80" w:line="360" w:lineRule="auto"/>
              <w:ind w:left="0"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0" w:after="80" w:line="360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项目实施方案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0" w:after="80" w:line="360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2"/>
              </w:rPr>
              <w:t>分</w:t>
            </w:r>
          </w:p>
        </w:tc>
        <w:tc>
          <w:tcPr>
            <w:tcW w:w="6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0" w:after="80" w:line="360" w:lineRule="auto"/>
              <w:rPr>
                <w:rFonts w:hint="eastAsia" w:ascii="宋体" w:hAnsi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供应商</w:t>
            </w:r>
            <w:r>
              <w:rPr>
                <w:rFonts w:hint="eastAsia" w:ascii="宋体" w:hAnsi="宋体" w:eastAsia="宋体"/>
                <w:sz w:val="22"/>
              </w:rPr>
              <w:t>提供完整的服务方案</w:t>
            </w:r>
            <w:r>
              <w:rPr>
                <w:rFonts w:hint="eastAsia" w:ascii="宋体" w:hAnsi="宋体"/>
                <w:sz w:val="22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2"/>
              </w:rPr>
              <w:t>包括但不仅限于</w:t>
            </w:r>
            <w:r>
              <w:rPr>
                <w:rFonts w:hint="eastAsia" w:ascii="宋体" w:hAnsi="宋体"/>
                <w:sz w:val="22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before="80" w:after="80" w:line="360" w:lineRule="auto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①拍摄主题文稿</w:t>
            </w:r>
            <w:r>
              <w:rPr>
                <w:rFonts w:hint="eastAsia" w:ascii="宋体" w:hAnsi="宋体"/>
                <w:sz w:val="22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before="80" w:after="80" w:line="360" w:lineRule="auto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②拍摄创意阐述</w:t>
            </w:r>
            <w:r>
              <w:rPr>
                <w:rFonts w:hint="eastAsia" w:ascii="宋体" w:hAnsi="宋体"/>
                <w:sz w:val="22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before="80" w:after="80" w:line="360" w:lineRule="auto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③人员配备及职能分工</w:t>
            </w:r>
            <w:r>
              <w:rPr>
                <w:rFonts w:hint="eastAsia" w:ascii="宋体" w:hAnsi="宋体"/>
                <w:sz w:val="22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before="80" w:after="80" w:line="360" w:lineRule="auto"/>
              <w:rPr>
                <w:rFonts w:hint="eastAsia" w:ascii="宋体" w:hAnsi="宋体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</w:rPr>
              <w:t>④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实施进度方案；</w:t>
            </w:r>
          </w:p>
          <w:p>
            <w:pPr>
              <w:adjustRightInd w:val="0"/>
              <w:snapToGrid w:val="0"/>
              <w:spacing w:before="80" w:after="80" w:line="360" w:lineRule="auto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</w:rPr>
              <w:t>⑤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拍摄技术使用类型和实施方式；</w:t>
            </w:r>
          </w:p>
          <w:p>
            <w:pPr>
              <w:adjustRightInd w:val="0"/>
              <w:snapToGrid w:val="0"/>
              <w:spacing w:before="80" w:after="80" w:line="360" w:lineRule="auto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⑥后期制作方案等</w:t>
            </w:r>
            <w:r>
              <w:rPr>
                <w:rFonts w:hint="eastAsia" w:ascii="宋体" w:hAnsi="宋体"/>
                <w:sz w:val="22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以上每项内容提供了详细方案、内容完整、切合项目实际情况、有针对性进行阐述的得3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2"/>
              </w:rPr>
              <w:t>分，每有一项内容缺失或者漏项扣5分，每有一项内容不完整或有缺陷或与项目实际需求不符合扣2.5分；扣完为止，未提供不得分。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spacing w:before="80" w:after="80" w:line="360" w:lineRule="auto"/>
              <w:ind w:left="0"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0" w:after="80" w:line="360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项目进度计划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0" w:after="80" w:line="360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15</w:t>
            </w:r>
            <w:r>
              <w:rPr>
                <w:rFonts w:hint="eastAsia" w:ascii="宋体" w:hAnsi="宋体" w:eastAsia="宋体"/>
                <w:sz w:val="22"/>
              </w:rPr>
              <w:t>分</w:t>
            </w:r>
          </w:p>
        </w:tc>
        <w:tc>
          <w:tcPr>
            <w:tcW w:w="6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80" w:after="80" w:line="360" w:lineRule="auto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根据供应商</w:t>
            </w:r>
            <w:r>
              <w:rPr>
                <w:rFonts w:hint="eastAsia" w:ascii="宋体" w:hAnsi="宋体" w:eastAsia="宋体"/>
                <w:sz w:val="22"/>
              </w:rPr>
              <w:t>提交的实施进度方案进行评审，包括但不限于：</w:t>
            </w:r>
          </w:p>
          <w:p>
            <w:pPr>
              <w:adjustRightInd w:val="0"/>
              <w:snapToGrid w:val="0"/>
              <w:spacing w:before="80" w:after="80" w:line="360" w:lineRule="auto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①各环节时间节点计划；</w:t>
            </w:r>
          </w:p>
          <w:p>
            <w:pPr>
              <w:adjustRightInd w:val="0"/>
              <w:snapToGrid w:val="0"/>
              <w:spacing w:before="80" w:after="80" w:line="360" w:lineRule="auto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②项目进度安排；</w:t>
            </w:r>
          </w:p>
          <w:p>
            <w:pPr>
              <w:adjustRightInd w:val="0"/>
              <w:snapToGrid w:val="0"/>
              <w:spacing w:before="80" w:after="80" w:line="360" w:lineRule="auto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③项目进度实施进度保障措施；</w:t>
            </w: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以上内容完整、切合项目实际情况、有针对性进行阐述的得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15</w:t>
            </w:r>
            <w:r>
              <w:rPr>
                <w:rFonts w:hint="eastAsia" w:ascii="宋体" w:hAnsi="宋体" w:eastAsia="宋体"/>
                <w:sz w:val="22"/>
              </w:rPr>
              <w:t>分，每有一项内容缺失或者漏项扣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22"/>
              </w:rPr>
              <w:t>分，每有一项内容不完整或有缺陷或与项目实际需求不符合扣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2"/>
              </w:rPr>
              <w:t>.5分；扣完为止，未提供不得分。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spacing w:before="80" w:after="80" w:line="360" w:lineRule="auto"/>
              <w:ind w:left="0"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0" w:after="80" w:line="360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项目人员配备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0" w:after="80" w:line="360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20</w:t>
            </w:r>
            <w:r>
              <w:rPr>
                <w:rFonts w:ascii="宋体" w:hAnsi="宋体" w:eastAsia="宋体"/>
                <w:sz w:val="22"/>
              </w:rPr>
              <w:t>分</w:t>
            </w:r>
          </w:p>
        </w:tc>
        <w:tc>
          <w:tcPr>
            <w:tcW w:w="6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numId w:val="0"/>
              </w:numPr>
              <w:rPr>
                <w:rFonts w:ascii="宋体" w:hAnsi="宋体" w:eastAsia="宋体"/>
                <w:sz w:val="22"/>
              </w:rPr>
            </w:pPr>
            <w:r>
              <w:rPr>
                <w:rFonts w:hint="eastAsia"/>
              </w:rPr>
              <w:t>根据供应商针对本项目提供创作人员和专业设备进行</w:t>
            </w:r>
            <w:r>
              <w:rPr>
                <w:rFonts w:hint="eastAsia"/>
                <w:lang w:val="en-US" w:eastAsia="zh-CN"/>
              </w:rPr>
              <w:t>评审</w:t>
            </w:r>
            <w:r>
              <w:rPr>
                <w:rFonts w:hint="eastAsia"/>
              </w:rPr>
              <w:t>：</w:t>
            </w:r>
          </w:p>
          <w:p>
            <w:pPr>
              <w:numPr>
                <w:numId w:val="0"/>
              </w:numPr>
              <w:adjustRightInd w:val="0"/>
              <w:snapToGrid w:val="0"/>
              <w:spacing w:before="80" w:after="80" w:line="360" w:lineRule="auto"/>
              <w:rPr>
                <w:rFonts w:ascii="宋体" w:hAnsi="宋体" w:eastAsia="宋体"/>
                <w:sz w:val="22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lang w:val="en-US" w:eastAsia="zh-CN"/>
              </w:rPr>
              <w:t>对本项目投入主创人员应包含：</w:t>
            </w:r>
            <w:r>
              <w:rPr>
                <w:rFonts w:ascii="宋体" w:hAnsi="宋体" w:eastAsia="宋体"/>
                <w:sz w:val="22"/>
              </w:rPr>
              <w:t>导演、编剧（含撰稿）、摄像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师</w:t>
            </w:r>
            <w:r>
              <w:rPr>
                <w:rFonts w:ascii="宋体" w:hAnsi="宋体" w:eastAsia="宋体"/>
                <w:sz w:val="22"/>
              </w:rPr>
              <w:t>（含助理）、灯光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师</w:t>
            </w:r>
            <w:r>
              <w:rPr>
                <w:rFonts w:ascii="宋体" w:hAnsi="宋体" w:eastAsia="宋体"/>
                <w:sz w:val="22"/>
              </w:rPr>
              <w:t>、化妆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师</w:t>
            </w:r>
            <w:r>
              <w:rPr>
                <w:rFonts w:ascii="宋体" w:hAnsi="宋体" w:eastAsia="宋体"/>
                <w:sz w:val="22"/>
              </w:rPr>
              <w:t>、后期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剪辑师、调色师等相</w:t>
            </w:r>
            <w:r>
              <w:rPr>
                <w:rFonts w:ascii="宋体" w:hAnsi="宋体" w:eastAsia="宋体"/>
                <w:sz w:val="22"/>
              </w:rPr>
              <w:t>关技术人员，以上岗位</w:t>
            </w:r>
            <w:r>
              <w:rPr>
                <w:rFonts w:hint="eastAsia" w:ascii="宋体" w:hAnsi="宋体" w:eastAsia="宋体"/>
                <w:sz w:val="22"/>
              </w:rPr>
              <w:t>均</w:t>
            </w:r>
            <w:r>
              <w:rPr>
                <w:rFonts w:ascii="宋体" w:hAnsi="宋体" w:eastAsia="宋体"/>
                <w:sz w:val="22"/>
              </w:rPr>
              <w:t>配置到位得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14</w:t>
            </w:r>
            <w:r>
              <w:rPr>
                <w:rFonts w:ascii="宋体" w:hAnsi="宋体" w:eastAsia="宋体"/>
                <w:sz w:val="22"/>
              </w:rPr>
              <w:t>分，每缺少一项扣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2</w:t>
            </w:r>
            <w:r>
              <w:rPr>
                <w:rFonts w:ascii="宋体" w:hAnsi="宋体" w:eastAsia="宋体"/>
                <w:sz w:val="22"/>
              </w:rPr>
              <w:t>分，扣完为止。</w:t>
            </w:r>
          </w:p>
          <w:p>
            <w:pPr>
              <w:numPr>
                <w:numId w:val="0"/>
              </w:numPr>
              <w:adjustRightInd w:val="0"/>
              <w:snapToGrid w:val="0"/>
              <w:spacing w:before="80" w:after="80" w:line="360" w:lineRule="auto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  <w:sz w:val="22"/>
              </w:rPr>
              <w:t>注：提供详细的人员配置表</w:t>
            </w:r>
            <w:r>
              <w:rPr>
                <w:rFonts w:hint="eastAsia" w:ascii="宋体" w:hAnsi="宋体"/>
                <w:sz w:val="22"/>
                <w:lang w:eastAsia="zh-CN"/>
              </w:rPr>
              <w:t>（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包含人员名单及对应职位）及相关证明文件。</w:t>
            </w:r>
          </w:p>
          <w:p>
            <w:pPr>
              <w:pStyle w:val="2"/>
              <w:numPr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default" w:ascii="Calibri" w:hAnsi="Calibri" w:cs="Calibri"/>
              </w:rPr>
              <w:t>②</w:t>
            </w:r>
            <w:r>
              <w:rPr>
                <w:rFonts w:hint="eastAsia"/>
              </w:rPr>
              <w:t>有电视、电台媒体播出代理授权或播出资质，此项满足得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lang w:val="en-US" w:eastAsia="zh-CN"/>
              </w:rPr>
              <w:t>。</w:t>
            </w:r>
          </w:p>
          <w:p>
            <w:pPr>
              <w:pStyle w:val="2"/>
              <w:numPr>
                <w:numId w:val="0"/>
              </w:numPr>
              <w:rPr>
                <w:rFonts w:ascii="宋体" w:hAnsi="宋体" w:eastAsia="宋体"/>
                <w:sz w:val="22"/>
              </w:rPr>
            </w:pPr>
            <w:r>
              <w:rPr>
                <w:rFonts w:hint="eastAsia"/>
                <w:lang w:val="en-US" w:eastAsia="zh-CN"/>
              </w:rPr>
              <w:t>注：</w:t>
            </w:r>
            <w:r>
              <w:rPr>
                <w:rFonts w:hint="eastAsia"/>
              </w:rPr>
              <w:t>提供相关证明资料。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spacing w:before="80" w:after="80" w:line="360" w:lineRule="auto"/>
              <w:ind w:left="0"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0" w:after="80" w:line="360" w:lineRule="auto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业绩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0" w:after="80" w:line="360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15</w:t>
            </w:r>
            <w:r>
              <w:rPr>
                <w:rFonts w:hint="eastAsia" w:ascii="宋体" w:hAnsi="宋体" w:eastAsia="宋体"/>
                <w:sz w:val="22"/>
              </w:rPr>
              <w:t>分</w:t>
            </w:r>
          </w:p>
        </w:tc>
        <w:tc>
          <w:tcPr>
            <w:tcW w:w="6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numId w:val="0"/>
              </w:numPr>
              <w:adjustRightInd w:val="0"/>
              <w:snapToGrid w:val="0"/>
              <w:spacing w:before="80" w:after="80" w:line="360" w:lineRule="auto"/>
              <w:rPr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1月1日（含）</w:t>
            </w:r>
            <w:r>
              <w:rPr>
                <w:rFonts w:hint="eastAsia"/>
              </w:rPr>
              <w:t>至今供应商实施过同类宣传制作案例的，每有1例得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分，最多得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分。</w:t>
            </w:r>
          </w:p>
          <w:p>
            <w:pPr>
              <w:pStyle w:val="2"/>
              <w:numPr>
                <w:numId w:val="0"/>
              </w:numPr>
            </w:pPr>
            <w:r>
              <w:rPr>
                <w:rFonts w:hint="eastAsia"/>
              </w:rPr>
              <w:t>注：提供合同或中标（或成交或中选）通知书复印件</w:t>
            </w:r>
            <w:r>
              <w:rPr>
                <w:rFonts w:hint="eastAsia"/>
                <w:lang w:val="en-US" w:eastAsia="zh-CN"/>
              </w:rPr>
              <w:t>加盖鲜章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CN"/>
              </w:rPr>
              <w:t>合同仅需提供首位页复印件</w:t>
            </w:r>
            <w:r>
              <w:rPr>
                <w:rFonts w:hint="eastAsia"/>
              </w:rPr>
              <w:t>。</w:t>
            </w: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宋体" w:hAnsi="宋体" w:eastAsia="宋体"/>
                <w:sz w:val="22"/>
              </w:rPr>
            </w:pPr>
          </w:p>
        </w:tc>
      </w:tr>
    </w:tbl>
    <w:p>
      <w:pPr>
        <w:spacing w:before="80" w:after="80" w:line="360" w:lineRule="auto"/>
        <w:ind w:firstLine="480" w:firstLineChars="200"/>
        <w:rPr>
          <w:rFonts w:hint="eastAsia" w:cs="宋体" w:asciiTheme="minorEastAsia" w:hAnsiTheme="minorEastAsia" w:eastAsiaTheme="minorEastAsia"/>
          <w:sz w:val="24"/>
          <w:szCs w:val="24"/>
        </w:rPr>
      </w:pPr>
    </w:p>
    <w:p>
      <w:pPr>
        <w:spacing w:before="80" w:after="80" w:line="360" w:lineRule="auto"/>
        <w:rPr>
          <w:rFonts w:hint="eastAsia"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注： 评分的取值按四舍五入法，保留小数点后两位。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ab/>
      </w:r>
    </w:p>
    <w:p/>
    <w:sectPr>
      <w:pgSz w:w="11906" w:h="16838"/>
      <w:pgMar w:top="986" w:right="1633" w:bottom="986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9A4CB8"/>
    <w:multiLevelType w:val="multilevel"/>
    <w:tmpl w:val="039A4CB8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YjY3OWQyODAxNmFjNzgxNzg5NzY2MDQwY2Y2NjYifQ=="/>
  </w:docVars>
  <w:rsids>
    <w:rsidRoot w:val="1A6E4B25"/>
    <w:rsid w:val="01F9035B"/>
    <w:rsid w:val="074402A2"/>
    <w:rsid w:val="0A0333B9"/>
    <w:rsid w:val="0B3561B3"/>
    <w:rsid w:val="193F08F1"/>
    <w:rsid w:val="1A6E4B25"/>
    <w:rsid w:val="1AC27A2C"/>
    <w:rsid w:val="1D1B6401"/>
    <w:rsid w:val="225C42C2"/>
    <w:rsid w:val="33DC5263"/>
    <w:rsid w:val="4AC26B09"/>
    <w:rsid w:val="4EC16984"/>
    <w:rsid w:val="51DF7F97"/>
    <w:rsid w:val="67E8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tabs>
        <w:tab w:val="left" w:pos="720"/>
      </w:tabs>
      <w:spacing w:before="260" w:after="260" w:line="360" w:lineRule="auto"/>
      <w:jc w:val="center"/>
      <w:outlineLvl w:val="1"/>
    </w:pPr>
    <w:rPr>
      <w:rFonts w:hAnsi="宋体" w:cs="Arial"/>
      <w:b/>
      <w:bCs/>
      <w:iCs/>
      <w:sz w:val="28"/>
      <w:szCs w:val="2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customStyle="1" w:styleId="6">
    <w:name w:val="列表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2024-01-31T07:38:00Z</dcterms:created>
  <dc:creator>Administrator</dc:creator>
  <cp:lastModifiedBy>Administrator</cp:lastModifiedBy>
  <dcterms:modified xsi:type="dcterms:W3CDTF">2024-01-31T09:43:51Z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FB02BBD24478499A8CF73E6A3553B470_11</vt:lpwstr>
  </property>
</Properties>
</file>